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F5F3" w14:textId="77777777" w:rsidR="0021307B" w:rsidRDefault="0021307B">
      <w:pPr>
        <w:jc w:val="both"/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8"/>
        <w:gridCol w:w="3545"/>
        <w:gridCol w:w="1561"/>
        <w:gridCol w:w="2536"/>
      </w:tblGrid>
      <w:tr w:rsidR="0021307B" w:rsidRPr="00D53DE6" w14:paraId="1822B80C" w14:textId="77777777" w:rsidTr="00D53DE6">
        <w:tc>
          <w:tcPr>
            <w:tcW w:w="1728" w:type="dxa"/>
          </w:tcPr>
          <w:p w14:paraId="20E4615E" w14:textId="77777777" w:rsidR="0021307B" w:rsidRPr="00D53DE6" w:rsidRDefault="0021307B" w:rsidP="00D53DE6">
            <w:pPr>
              <w:jc w:val="both"/>
              <w:rPr>
                <w:sz w:val="21"/>
                <w:szCs w:val="21"/>
              </w:rPr>
            </w:pPr>
            <w:r w:rsidRPr="00D53DE6">
              <w:rPr>
                <w:sz w:val="21"/>
                <w:szCs w:val="21"/>
              </w:rPr>
              <w:t>Employee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47810D0" w14:textId="77777777" w:rsidR="0021307B" w:rsidRPr="00D53DE6" w:rsidRDefault="0021307B" w:rsidP="00D53DE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6" w:type="dxa"/>
          </w:tcPr>
          <w:p w14:paraId="3D29E836" w14:textId="77777777" w:rsidR="0021307B" w:rsidRPr="00D53DE6" w:rsidRDefault="0021307B" w:rsidP="00D53DE6">
            <w:pPr>
              <w:jc w:val="right"/>
              <w:rPr>
                <w:sz w:val="21"/>
                <w:szCs w:val="21"/>
              </w:rPr>
            </w:pPr>
            <w:r w:rsidRPr="00D53DE6">
              <w:rPr>
                <w:sz w:val="21"/>
                <w:szCs w:val="21"/>
              </w:rPr>
              <w:t>Department: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0BBE21C8" w14:textId="77777777" w:rsidR="0021307B" w:rsidRPr="00D53DE6" w:rsidRDefault="0021307B" w:rsidP="00D53DE6">
            <w:pPr>
              <w:jc w:val="both"/>
              <w:rPr>
                <w:sz w:val="21"/>
                <w:szCs w:val="21"/>
              </w:rPr>
            </w:pPr>
          </w:p>
        </w:tc>
      </w:tr>
    </w:tbl>
    <w:p w14:paraId="06FB554B" w14:textId="77777777" w:rsidR="0021307B" w:rsidRPr="00934C5A" w:rsidRDefault="0021307B">
      <w:pPr>
        <w:jc w:val="both"/>
        <w:rPr>
          <w:sz w:val="21"/>
          <w:szCs w:val="21"/>
        </w:rPr>
      </w:pPr>
    </w:p>
    <w:p w14:paraId="7303C2CF" w14:textId="0C463A69" w:rsidR="00A65B5F" w:rsidRPr="00934C5A" w:rsidRDefault="005B3A26">
      <w:pPr>
        <w:jc w:val="both"/>
        <w:rPr>
          <w:sz w:val="21"/>
          <w:szCs w:val="21"/>
        </w:rPr>
      </w:pPr>
      <w:r w:rsidRPr="005B3A26">
        <w:rPr>
          <w:sz w:val="21"/>
          <w:szCs w:val="21"/>
        </w:rPr>
        <w:t xml:space="preserve">These items </w:t>
      </w:r>
      <w:r w:rsidR="00A65B5F" w:rsidRPr="00934C5A">
        <w:rPr>
          <w:sz w:val="21"/>
          <w:szCs w:val="21"/>
        </w:rPr>
        <w:t xml:space="preserve">should be considered </w:t>
      </w:r>
      <w:r w:rsidRPr="005B3A26">
        <w:rPr>
          <w:sz w:val="21"/>
          <w:szCs w:val="21"/>
        </w:rPr>
        <w:t xml:space="preserve">before </w:t>
      </w:r>
      <w:r w:rsidR="00A65B5F" w:rsidRPr="00934C5A">
        <w:rPr>
          <w:sz w:val="21"/>
          <w:szCs w:val="21"/>
        </w:rPr>
        <w:t>the termination of an employee. Not all items will apply to all employees or all circumstances.</w:t>
      </w:r>
      <w:r w:rsidR="00AF060B" w:rsidRPr="00934C5A">
        <w:rPr>
          <w:sz w:val="21"/>
          <w:szCs w:val="21"/>
        </w:rPr>
        <w:t xml:space="preserve"> </w:t>
      </w:r>
      <w:r w:rsidR="0021307B" w:rsidRPr="00934C5A">
        <w:rPr>
          <w:sz w:val="21"/>
          <w:szCs w:val="21"/>
        </w:rPr>
        <w:t xml:space="preserve">Please check those you have considered </w:t>
      </w:r>
      <w:r w:rsidRPr="005B3A26">
        <w:rPr>
          <w:sz w:val="21"/>
          <w:szCs w:val="21"/>
        </w:rPr>
        <w:t xml:space="preserve">before </w:t>
      </w:r>
      <w:r w:rsidR="0021307B" w:rsidRPr="00934C5A">
        <w:rPr>
          <w:sz w:val="21"/>
          <w:szCs w:val="21"/>
        </w:rPr>
        <w:t xml:space="preserve">making the termination decision. </w:t>
      </w:r>
    </w:p>
    <w:p w14:paraId="7255719D" w14:textId="77777777" w:rsidR="00A65B5F" w:rsidRPr="00934C5A" w:rsidRDefault="00A65B5F">
      <w:pPr>
        <w:jc w:val="both"/>
        <w:rPr>
          <w:sz w:val="21"/>
          <w:szCs w:val="21"/>
        </w:rPr>
      </w:pPr>
    </w:p>
    <w:p w14:paraId="52F47BF6" w14:textId="443A5B22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>Determine if the termination is the fault of the employee or the system.</w:t>
      </w:r>
      <w:r w:rsidR="00AF060B" w:rsidRPr="00934C5A">
        <w:rPr>
          <w:sz w:val="21"/>
          <w:szCs w:val="21"/>
        </w:rPr>
        <w:t xml:space="preserve"> </w:t>
      </w:r>
      <w:r w:rsidRPr="00934C5A">
        <w:rPr>
          <w:sz w:val="21"/>
          <w:szCs w:val="21"/>
        </w:rPr>
        <w:t>If the latter, termination may not solve the problem</w:t>
      </w:r>
      <w:r w:rsidR="005B3A26">
        <w:rPr>
          <w:sz w:val="21"/>
          <w:szCs w:val="21"/>
        </w:rPr>
        <w:t xml:space="preserve">. You may even </w:t>
      </w:r>
      <w:r w:rsidR="009F73BC">
        <w:rPr>
          <w:sz w:val="21"/>
          <w:szCs w:val="21"/>
        </w:rPr>
        <w:t xml:space="preserve">replace them with another failure. </w:t>
      </w:r>
    </w:p>
    <w:p w14:paraId="084463D0" w14:textId="0E3A04E3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The employee’s personnel file has been reviewed and </w:t>
      </w:r>
      <w:r w:rsidR="005B3A26" w:rsidRPr="005B3A26">
        <w:rPr>
          <w:sz w:val="21"/>
          <w:szCs w:val="21"/>
        </w:rPr>
        <w:t xml:space="preserve">proper documentation supports </w:t>
      </w:r>
      <w:r w:rsidRPr="00934C5A">
        <w:rPr>
          <w:sz w:val="21"/>
          <w:szCs w:val="21"/>
        </w:rPr>
        <w:t>the termination decision, including investigation, warnings</w:t>
      </w:r>
      <w:r w:rsidR="005B3A26">
        <w:rPr>
          <w:sz w:val="21"/>
          <w:szCs w:val="21"/>
        </w:rPr>
        <w:t>,</w:t>
      </w:r>
      <w:r w:rsidRPr="00934C5A">
        <w:rPr>
          <w:sz w:val="21"/>
          <w:szCs w:val="21"/>
        </w:rPr>
        <w:t xml:space="preserve"> and witness statements.</w:t>
      </w:r>
    </w:p>
    <w:p w14:paraId="42B5D510" w14:textId="694A11E6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Any company policies and procedures violated by the employee are reasonably related to the operation of the business or the </w:t>
      </w:r>
      <w:r w:rsidR="005B3A26">
        <w:rPr>
          <w:sz w:val="21"/>
          <w:szCs w:val="21"/>
        </w:rPr>
        <w:t>employee’s</w:t>
      </w:r>
      <w:r w:rsidRPr="00934C5A">
        <w:rPr>
          <w:sz w:val="21"/>
          <w:szCs w:val="21"/>
        </w:rPr>
        <w:t xml:space="preserve"> job performance.</w:t>
      </w:r>
    </w:p>
    <w:p w14:paraId="54BBB0FC" w14:textId="77777777" w:rsidR="00A65B5F" w:rsidRPr="00934C5A" w:rsidRDefault="001E02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Any discipline and </w:t>
      </w:r>
      <w:r w:rsidR="00A65B5F" w:rsidRPr="00934C5A">
        <w:rPr>
          <w:sz w:val="21"/>
          <w:szCs w:val="21"/>
        </w:rPr>
        <w:t xml:space="preserve">termination </w:t>
      </w:r>
      <w:r w:rsidRPr="00934C5A">
        <w:rPr>
          <w:sz w:val="21"/>
          <w:szCs w:val="21"/>
        </w:rPr>
        <w:t>actions</w:t>
      </w:r>
      <w:r w:rsidR="00A65B5F" w:rsidRPr="00934C5A">
        <w:rPr>
          <w:sz w:val="21"/>
          <w:szCs w:val="21"/>
        </w:rPr>
        <w:t xml:space="preserve"> follow company policies and procedures.</w:t>
      </w:r>
    </w:p>
    <w:p w14:paraId="3F819C26" w14:textId="77777777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>Other employees have been treated similarly under the same or similar circumstances.</w:t>
      </w:r>
    </w:p>
    <w:p w14:paraId="6A502728" w14:textId="5CA73089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The employee has been subjected to progressive discipline where </w:t>
      </w:r>
      <w:r w:rsidR="005B3A26" w:rsidRPr="005B3A26">
        <w:rPr>
          <w:sz w:val="21"/>
          <w:szCs w:val="21"/>
        </w:rPr>
        <w:t>justified</w:t>
      </w:r>
      <w:r w:rsidRPr="00934C5A">
        <w:rPr>
          <w:sz w:val="21"/>
          <w:szCs w:val="21"/>
        </w:rPr>
        <w:t>.</w:t>
      </w:r>
    </w:p>
    <w:p w14:paraId="1FFB2311" w14:textId="77777777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If the employee is within a protected class (over 40, female, minority, </w:t>
      </w:r>
      <w:r w:rsidR="001E025F" w:rsidRPr="00934C5A">
        <w:rPr>
          <w:sz w:val="21"/>
          <w:szCs w:val="21"/>
        </w:rPr>
        <w:t xml:space="preserve">medical leave, pregnant, religious, military, victim of domestic violence or crime, </w:t>
      </w:r>
      <w:r w:rsidRPr="00934C5A">
        <w:rPr>
          <w:sz w:val="21"/>
          <w:szCs w:val="21"/>
        </w:rPr>
        <w:t xml:space="preserve">disabled, etc.), </w:t>
      </w:r>
      <w:r w:rsidR="007A0F67" w:rsidRPr="00934C5A">
        <w:rPr>
          <w:sz w:val="21"/>
          <w:szCs w:val="21"/>
        </w:rPr>
        <w:t>improper</w:t>
      </w:r>
      <w:r w:rsidRPr="00934C5A">
        <w:rPr>
          <w:sz w:val="21"/>
          <w:szCs w:val="21"/>
        </w:rPr>
        <w:t xml:space="preserve"> motives have been ruled out.</w:t>
      </w:r>
    </w:p>
    <w:p w14:paraId="007D0E7C" w14:textId="6C710FBC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All employee complaints </w:t>
      </w:r>
      <w:r w:rsidR="007A0F67" w:rsidRPr="00934C5A">
        <w:rPr>
          <w:sz w:val="21"/>
          <w:szCs w:val="21"/>
        </w:rPr>
        <w:t xml:space="preserve">(safety, health, discrimination, </w:t>
      </w:r>
      <w:r w:rsidR="005B3A26" w:rsidRPr="00934C5A">
        <w:rPr>
          <w:sz w:val="21"/>
          <w:szCs w:val="21"/>
        </w:rPr>
        <w:t>whistleblowing</w:t>
      </w:r>
      <w:r w:rsidR="007A0F67" w:rsidRPr="00934C5A">
        <w:rPr>
          <w:sz w:val="21"/>
          <w:szCs w:val="21"/>
        </w:rPr>
        <w:t xml:space="preserve">, pay </w:t>
      </w:r>
      <w:r w:rsidR="009D25CC" w:rsidRPr="00934C5A">
        <w:rPr>
          <w:sz w:val="21"/>
          <w:szCs w:val="21"/>
        </w:rPr>
        <w:t>disparities</w:t>
      </w:r>
      <w:r w:rsidR="007A0F67" w:rsidRPr="00934C5A">
        <w:rPr>
          <w:sz w:val="21"/>
          <w:szCs w:val="21"/>
        </w:rPr>
        <w:t xml:space="preserve">, working conditions, etc.) </w:t>
      </w:r>
      <w:r w:rsidRPr="00934C5A">
        <w:rPr>
          <w:sz w:val="21"/>
          <w:szCs w:val="21"/>
        </w:rPr>
        <w:t>have been investigated and the recommended termination is not the result of retaliation for communicating any grievance, claim or complaint.</w:t>
      </w:r>
    </w:p>
    <w:p w14:paraId="58A14D37" w14:textId="77777777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>Before recommending termination, have you considered: restructuring the job; moving the employee’s work location; a demotion; a transfer; new supervision; leave without pay; referral to an employee assistance program; voluntary resignation; or other alternatives?</w:t>
      </w:r>
    </w:p>
    <w:p w14:paraId="3F1C0A3A" w14:textId="77777777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>There are no implied, written or oral contracts with this employee governing the termination decision.</w:t>
      </w:r>
      <w:r w:rsidR="007A0F67" w:rsidRPr="00934C5A">
        <w:rPr>
          <w:sz w:val="21"/>
          <w:szCs w:val="21"/>
        </w:rPr>
        <w:t xml:space="preserve"> (Check the employee handbook</w:t>
      </w:r>
      <w:r w:rsidR="00CE3ED8" w:rsidRPr="00934C5A">
        <w:rPr>
          <w:sz w:val="21"/>
          <w:szCs w:val="21"/>
        </w:rPr>
        <w:t>.)</w:t>
      </w:r>
    </w:p>
    <w:p w14:paraId="31C130CF" w14:textId="77777777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The termination has been independently reviewed and approved by the Human Resources Department or another </w:t>
      </w:r>
      <w:r w:rsidR="009D25CC" w:rsidRPr="00934C5A">
        <w:rPr>
          <w:sz w:val="21"/>
          <w:szCs w:val="21"/>
        </w:rPr>
        <w:t>manager</w:t>
      </w:r>
      <w:r w:rsidRPr="00934C5A">
        <w:rPr>
          <w:sz w:val="21"/>
          <w:szCs w:val="21"/>
        </w:rPr>
        <w:t>.</w:t>
      </w:r>
    </w:p>
    <w:p w14:paraId="5B7A3197" w14:textId="0F76E9BB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>Written notice of termination has been prepared</w:t>
      </w:r>
      <w:r w:rsidR="005B3A26">
        <w:rPr>
          <w:sz w:val="21"/>
          <w:szCs w:val="21"/>
        </w:rPr>
        <w:t xml:space="preserve"> and reviewed</w:t>
      </w:r>
      <w:r w:rsidRPr="00934C5A">
        <w:rPr>
          <w:sz w:val="21"/>
          <w:szCs w:val="21"/>
        </w:rPr>
        <w:t>.</w:t>
      </w:r>
    </w:p>
    <w:p w14:paraId="79CD5720" w14:textId="77777777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>A plan has been adopted for informing the employee of their termination in a brief and dignified manner.</w:t>
      </w:r>
    </w:p>
    <w:p w14:paraId="55946EB2" w14:textId="59D41D89" w:rsidR="00A65B5F" w:rsidRPr="00934C5A" w:rsidRDefault="00A65B5F" w:rsidP="00934C5A">
      <w:pPr>
        <w:pStyle w:val="BodyTextIndent"/>
        <w:numPr>
          <w:ilvl w:val="0"/>
          <w:numId w:val="5"/>
        </w:numPr>
        <w:spacing w:after="20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Termination is set for Tuesday, </w:t>
      </w:r>
      <w:r w:rsidR="005B3A26" w:rsidRPr="00934C5A">
        <w:rPr>
          <w:sz w:val="21"/>
          <w:szCs w:val="21"/>
        </w:rPr>
        <w:t>Wednesday,</w:t>
      </w:r>
      <w:r w:rsidRPr="00934C5A">
        <w:rPr>
          <w:sz w:val="21"/>
          <w:szCs w:val="21"/>
        </w:rPr>
        <w:t xml:space="preserve"> or Thursday morn</w:t>
      </w:r>
      <w:r w:rsidR="009D25CC" w:rsidRPr="00934C5A">
        <w:rPr>
          <w:sz w:val="21"/>
          <w:szCs w:val="21"/>
        </w:rPr>
        <w:t xml:space="preserve">ing </w:t>
      </w:r>
      <w:r w:rsidR="005B3A26">
        <w:rPr>
          <w:sz w:val="21"/>
          <w:szCs w:val="21"/>
        </w:rPr>
        <w:t>in</w:t>
      </w:r>
      <w:r w:rsidR="009D25CC" w:rsidRPr="00934C5A">
        <w:rPr>
          <w:sz w:val="21"/>
          <w:szCs w:val="21"/>
        </w:rPr>
        <w:t xml:space="preserve"> the employee’s office, the conference room, or </w:t>
      </w:r>
      <w:r w:rsidR="005B3A26">
        <w:rPr>
          <w:sz w:val="21"/>
          <w:szCs w:val="21"/>
        </w:rPr>
        <w:t>ano</w:t>
      </w:r>
      <w:r w:rsidR="009D25CC" w:rsidRPr="00934C5A">
        <w:rPr>
          <w:sz w:val="21"/>
          <w:szCs w:val="21"/>
        </w:rPr>
        <w:t>ther “safe” place</w:t>
      </w:r>
      <w:r w:rsidR="005B3A26">
        <w:rPr>
          <w:sz w:val="21"/>
          <w:szCs w:val="21"/>
        </w:rPr>
        <w:t xml:space="preserve"> that offers privacy</w:t>
      </w:r>
      <w:r w:rsidR="009D25CC" w:rsidRPr="00934C5A">
        <w:rPr>
          <w:sz w:val="21"/>
          <w:szCs w:val="21"/>
        </w:rPr>
        <w:t xml:space="preserve">. </w:t>
      </w:r>
    </w:p>
    <w:p w14:paraId="3A67771C" w14:textId="361A31E8" w:rsidR="008966EA" w:rsidRPr="00934C5A" w:rsidRDefault="00A65B5F" w:rsidP="008966EA">
      <w:pPr>
        <w:pStyle w:val="BodyTextIndent"/>
        <w:numPr>
          <w:ilvl w:val="0"/>
          <w:numId w:val="5"/>
        </w:numPr>
        <w:spacing w:after="240"/>
        <w:ind w:hanging="720"/>
        <w:rPr>
          <w:sz w:val="21"/>
          <w:szCs w:val="21"/>
        </w:rPr>
      </w:pPr>
      <w:r w:rsidRPr="00934C5A">
        <w:rPr>
          <w:sz w:val="21"/>
          <w:szCs w:val="21"/>
        </w:rPr>
        <w:t xml:space="preserve">You have considered consulting an employment lawyer </w:t>
      </w:r>
      <w:r w:rsidRPr="005B3A26">
        <w:rPr>
          <w:sz w:val="21"/>
          <w:szCs w:val="21"/>
        </w:rPr>
        <w:t>prior to</w:t>
      </w:r>
      <w:r w:rsidR="005B3A26" w:rsidRPr="005B3A26">
        <w:rPr>
          <w:sz w:val="21"/>
          <w:szCs w:val="21"/>
        </w:rPr>
        <w:t xml:space="preserve"> </w:t>
      </w:r>
      <w:r w:rsidRPr="00934C5A">
        <w:rPr>
          <w:sz w:val="21"/>
          <w:szCs w:val="21"/>
        </w:rPr>
        <w:t>the termination decision.</w:t>
      </w:r>
      <w:r w:rsidR="0037563A" w:rsidRPr="00934C5A">
        <w:rPr>
          <w:sz w:val="21"/>
          <w:szCs w:val="21"/>
        </w:rPr>
        <w:t xml:space="preserve"> (See </w:t>
      </w:r>
      <w:hyperlink r:id="rId12" w:history="1">
        <w:r w:rsidR="0037563A" w:rsidRPr="00934C5A">
          <w:rPr>
            <w:rStyle w:val="Hyperlink"/>
            <w:sz w:val="21"/>
            <w:szCs w:val="21"/>
          </w:rPr>
          <w:t>www.worklaw.com</w:t>
        </w:r>
      </w:hyperlink>
      <w:r w:rsidR="0037563A" w:rsidRPr="00934C5A">
        <w:rPr>
          <w:sz w:val="21"/>
          <w:szCs w:val="21"/>
        </w:rPr>
        <w:t xml:space="preserve">) </w:t>
      </w:r>
      <w:r w:rsidR="008966EA" w:rsidRPr="00934C5A">
        <w:rPr>
          <w:sz w:val="21"/>
          <w:szCs w:val="21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4081"/>
        <w:gridCol w:w="1553"/>
        <w:gridCol w:w="1652"/>
      </w:tblGrid>
      <w:tr w:rsidR="008966EA" w:rsidRPr="00D53DE6" w14:paraId="7284232A" w14:textId="77777777" w:rsidTr="00D53DE6">
        <w:tc>
          <w:tcPr>
            <w:tcW w:w="2088" w:type="dxa"/>
          </w:tcPr>
          <w:p w14:paraId="2E513BD9" w14:textId="77777777" w:rsidR="008966EA" w:rsidRPr="00D53DE6" w:rsidRDefault="008966EA" w:rsidP="00D53DE6">
            <w:pPr>
              <w:jc w:val="both"/>
              <w:rPr>
                <w:sz w:val="21"/>
                <w:szCs w:val="21"/>
              </w:rPr>
            </w:pPr>
            <w:r w:rsidRPr="00D53DE6">
              <w:rPr>
                <w:sz w:val="21"/>
                <w:szCs w:val="21"/>
              </w:rPr>
              <w:t>Supervisor Signature: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D71C307" w14:textId="77777777" w:rsidR="008966EA" w:rsidRPr="00D53DE6" w:rsidRDefault="008966EA" w:rsidP="00D53DE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6" w:type="dxa"/>
          </w:tcPr>
          <w:p w14:paraId="1053E386" w14:textId="77777777" w:rsidR="008966EA" w:rsidRPr="00D53DE6" w:rsidRDefault="008966EA" w:rsidP="00D53DE6">
            <w:pPr>
              <w:jc w:val="right"/>
              <w:rPr>
                <w:sz w:val="21"/>
                <w:szCs w:val="21"/>
              </w:rPr>
            </w:pPr>
            <w:r w:rsidRPr="00D53DE6">
              <w:rPr>
                <w:sz w:val="21"/>
                <w:szCs w:val="21"/>
              </w:rPr>
              <w:t>Date: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D4C4871" w14:textId="77777777" w:rsidR="008966EA" w:rsidRPr="00D53DE6" w:rsidRDefault="008966EA" w:rsidP="00D53DE6">
            <w:pPr>
              <w:jc w:val="both"/>
              <w:rPr>
                <w:sz w:val="21"/>
                <w:szCs w:val="21"/>
              </w:rPr>
            </w:pPr>
          </w:p>
        </w:tc>
      </w:tr>
    </w:tbl>
    <w:p w14:paraId="5245F5DF" w14:textId="77777777" w:rsidR="008966EA" w:rsidRPr="008966EA" w:rsidRDefault="008966EA" w:rsidP="00934C5A">
      <w:pPr>
        <w:pStyle w:val="BodyTextIndent"/>
        <w:spacing w:after="240"/>
        <w:ind w:left="0" w:firstLine="0"/>
        <w:rPr>
          <w:sz w:val="20"/>
          <w:szCs w:val="20"/>
        </w:rPr>
      </w:pPr>
    </w:p>
    <w:sectPr w:rsidR="008966EA" w:rsidRPr="008966EA" w:rsidSect="00934C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96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71C7" w14:textId="77777777" w:rsidR="00F138A2" w:rsidRDefault="00F138A2">
      <w:r>
        <w:separator/>
      </w:r>
    </w:p>
  </w:endnote>
  <w:endnote w:type="continuationSeparator" w:id="0">
    <w:p w14:paraId="1982F359" w14:textId="77777777" w:rsidR="00F138A2" w:rsidRDefault="00F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5B0B" w14:textId="77777777" w:rsidR="009865DE" w:rsidRDefault="0098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0771" w14:textId="2D308A1C" w:rsidR="00934C5A" w:rsidRPr="009865DE" w:rsidRDefault="009865DE" w:rsidP="009865DE">
    <w:pPr>
      <w:pBdr>
        <w:top w:val="single" w:sz="18" w:space="1" w:color="auto"/>
      </w:pBdr>
      <w:rPr>
        <w:sz w:val="18"/>
        <w:szCs w:val="18"/>
      </w:rPr>
    </w:pPr>
    <w:r>
      <w:rPr>
        <w:sz w:val="18"/>
        <w:szCs w:val="18"/>
      </w:rPr>
      <w:t xml:space="preserve">©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DATE  \@ "yyyy"  \* MERGEFORMAT </w:instrText>
    </w:r>
    <w:r>
      <w:rPr>
        <w:sz w:val="18"/>
        <w:szCs w:val="18"/>
      </w:rPr>
      <w:fldChar w:fldCharType="separate"/>
    </w:r>
    <w:r w:rsidR="00862D7D" w:rsidRPr="00862D7D">
      <w:rPr>
        <w:bCs/>
        <w:noProof/>
        <w:sz w:val="18"/>
        <w:szCs w:val="18"/>
      </w:rPr>
      <w:t>2023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hyperlink r:id="rId1" w:history="1">
      <w:r w:rsidR="00862D7D" w:rsidRPr="00A2176F">
        <w:rPr>
          <w:rStyle w:val="Hyperlink"/>
          <w:sz w:val="18"/>
          <w:szCs w:val="18"/>
        </w:rPr>
        <w:t>www.donphin.com</w:t>
      </w:r>
    </w:hyperlink>
    <w:r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A9A1" w14:textId="77777777" w:rsidR="009865DE" w:rsidRDefault="0098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8445" w14:textId="77777777" w:rsidR="00F138A2" w:rsidRDefault="00F138A2">
      <w:r>
        <w:separator/>
      </w:r>
    </w:p>
  </w:footnote>
  <w:footnote w:type="continuationSeparator" w:id="0">
    <w:p w14:paraId="5ED982A3" w14:textId="77777777" w:rsidR="00F138A2" w:rsidRDefault="00F1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4E39" w14:textId="77777777" w:rsidR="009865DE" w:rsidRDefault="0098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8C1D" w14:textId="77777777" w:rsidR="00934C5A" w:rsidRDefault="00934C5A">
    <w:pPr>
      <w:pBdr>
        <w:bottom w:val="single" w:sz="18" w:space="1" w:color="auto"/>
      </w:pBd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PRE-TERMINATION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D8F7" w14:textId="77777777" w:rsidR="009865DE" w:rsidRDefault="0098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3FC5"/>
    <w:multiLevelType w:val="multilevel"/>
    <w:tmpl w:val="F3CEE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8C90093"/>
    <w:multiLevelType w:val="multilevel"/>
    <w:tmpl w:val="0F8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BFC0D0B"/>
    <w:multiLevelType w:val="hybridMultilevel"/>
    <w:tmpl w:val="0F824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18123BE"/>
    <w:multiLevelType w:val="hybridMultilevel"/>
    <w:tmpl w:val="F7E0F4F8"/>
    <w:lvl w:ilvl="0" w:tplc="EFA41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1E655CE"/>
    <w:multiLevelType w:val="hybridMultilevel"/>
    <w:tmpl w:val="F3CEE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73095585">
    <w:abstractNumId w:val="4"/>
  </w:num>
  <w:num w:numId="2" w16cid:durableId="1178078259">
    <w:abstractNumId w:val="0"/>
  </w:num>
  <w:num w:numId="3" w16cid:durableId="928739160">
    <w:abstractNumId w:val="2"/>
  </w:num>
  <w:num w:numId="4" w16cid:durableId="1465735227">
    <w:abstractNumId w:val="1"/>
  </w:num>
  <w:num w:numId="5" w16cid:durableId="51415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yMzMwMzY3M7KwNDNU0lEKTi0uzszPAykwqgUA7vSqcCwAAAA="/>
  </w:docVars>
  <w:rsids>
    <w:rsidRoot w:val="00AF060B"/>
    <w:rsid w:val="00024039"/>
    <w:rsid w:val="00107BAC"/>
    <w:rsid w:val="001E025F"/>
    <w:rsid w:val="0021307B"/>
    <w:rsid w:val="0037563A"/>
    <w:rsid w:val="00464567"/>
    <w:rsid w:val="005B3A26"/>
    <w:rsid w:val="00603CA8"/>
    <w:rsid w:val="00682E48"/>
    <w:rsid w:val="007A0F67"/>
    <w:rsid w:val="00862D7D"/>
    <w:rsid w:val="008966EA"/>
    <w:rsid w:val="008F3A24"/>
    <w:rsid w:val="00934C5A"/>
    <w:rsid w:val="009865DE"/>
    <w:rsid w:val="009D25CC"/>
    <w:rsid w:val="009F73BC"/>
    <w:rsid w:val="00A65B5F"/>
    <w:rsid w:val="00AA2521"/>
    <w:rsid w:val="00AF060B"/>
    <w:rsid w:val="00CE3ED8"/>
    <w:rsid w:val="00D53DE6"/>
    <w:rsid w:val="00D642FF"/>
    <w:rsid w:val="00E46624"/>
    <w:rsid w:val="00F1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BC03D"/>
  <w15:chartTrackingRefBased/>
  <w15:docId w15:val="{74369F63-EB25-4B91-BAB8-BB3C7C2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18" w:space="1" w:color="auto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Title">
    <w:name w:val="Title"/>
    <w:basedOn w:val="Normal"/>
    <w:qFormat/>
    <w:pPr>
      <w:pBdr>
        <w:bottom w:val="single" w:sz="18" w:space="1" w:color="auto"/>
      </w:pBdr>
      <w:jc w:val="center"/>
    </w:pPr>
    <w:rPr>
      <w:b/>
      <w:bCs/>
      <w:sz w:val="36"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1307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6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5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3A2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orklaw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ph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Type>10001</Type>
    <SequenceNumber>10000</SequenceNumber>
    <Assembly>AAJ.SharePoint.CustomEventHandler, Version=1.0.0.0, Culture=neutral, PublicKeyToken=53de8c8fb98d6e42</Assembly>
    <Class>AAJ.SharePoint.CustomEventHandler.EventHandlers</Class>
    <Data/>
    <Filter/>
  </Receiver>
  <Receiver>
    <Name/>
    <Type>3</Type>
    <SequenceNumber>10000</SequenceNumber>
    <Assembly>AAJ.SharePoint.CustomEventHandler, Version=1.0.0.0, Culture=neutral, PublicKeyToken=53de8c8fb98d6e42</Assembly>
    <Class>AAJ.SharePoint.CustomEventHandler.EventHandlers</Class>
    <Data/>
    <Filter/>
  </Receiver>
  <Receiver>
    <Name/>
    <Type>10002</Type>
    <SequenceNumber>10000</SequenceNumber>
    <Assembly>AAJ.SharePoint.CustomEventHandler, Version=1.0.0.0, Culture=neutral, PublicKeyToken=53de8c8fb98d6e42</Assembly>
    <Class>AAJ.SharePoint.CustomEventHandler.EventHandlers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Document_x0020_Content_x0020_Type xmlns="a3ce3828-e21b-4c12-9a54-fc548b8a730a">204</Document_x0020_Content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ersonnel Forms" ma:contentTypeID="0x010100B4F9C1A194AE884FB479FC31DEB2E45102005C058F5A0A5AF44E840F975512C94219" ma:contentTypeVersion="1" ma:contentTypeDescription="" ma:contentTypeScope="" ma:versionID="5a3ae252c76bf37b49d73f66b85fdd9d">
  <xsd:schema xmlns:xsd="http://www.w3.org/2001/XMLSchema" xmlns:p="http://schemas.microsoft.com/office/2006/metadata/properties" xmlns:ns1="http://schemas.microsoft.com/sharepoint/v3" xmlns:ns2="a3ce3828-e21b-4c12-9a54-fc548b8a730a" targetNamespace="http://schemas.microsoft.com/office/2006/metadata/properties" ma:root="true" ma:fieldsID="f75ce526728d656c7c7567c82847cdc2" ns1:_="" ns2:_="">
    <xsd:import namespace="http://schemas.microsoft.com/sharepoint/v3"/>
    <xsd:import namespace="a3ce3828-e21b-4c12-9a54-fc548b8a730a"/>
    <xsd:element name="properties">
      <xsd:complexType>
        <xsd:sequence>
          <xsd:element name="documentManagement">
            <xsd:complexType>
              <xsd:all>
                <xsd:element ref="ns2:Document_x0020_Content_x0020_Type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anguage" ma:index="3" nillable="true" ma:displayName="Language" ma:default="English" ma:format="Dropdown" ma:internalName="Language">
      <xsd:simpleType>
        <xsd:union memberTypes="dms:Text">
          <xsd:simpleType>
            <xsd:restriction base="dms:Choice">
              <xsd:enumeration value="English"/>
              <xsd:enumeration value="Spanish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a3ce3828-e21b-4c12-9a54-fc548b8a730a" elementFormDefault="qualified">
    <xsd:import namespace="http://schemas.microsoft.com/office/2006/documentManagement/types"/>
    <xsd:element name="Document_x0020_Content_x0020_Type" ma:index="2" nillable="true" ma:displayName="Document Content Type" ma:internalName="Document_x0020_Content_x0020_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875B464-77C5-493B-AE3D-61473499D7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E6FC3F-4E2A-4687-B150-D4C9282958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C45F99-E57C-4B45-917E-EF42FAD027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ce3828-e21b-4c12-9a54-fc548b8a730a"/>
  </ds:schemaRefs>
</ds:datastoreItem>
</file>

<file path=customXml/itemProps4.xml><?xml version="1.0" encoding="utf-8"?>
<ds:datastoreItem xmlns:ds="http://schemas.openxmlformats.org/officeDocument/2006/customXml" ds:itemID="{C29EF1A8-FA97-4EF0-AD3B-99BAC21CB9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922184-66D6-412D-BAD4-473F1B892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e3828-e21b-4c12-9a54-fc548b8a73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2090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PRE-TERMINATION CHECKLIST</vt:lpstr>
    </vt:vector>
  </TitlesOfParts>
  <Company>www.employeradvisorsnetwork.com</Company>
  <LinksUpToDate>false</LinksUpToDate>
  <CharactersWithSpaces>2430</CharactersWithSpaces>
  <SharedDoc>false</SharedDoc>
  <HLinks>
    <vt:vector size="12" baseType="variant">
      <vt:variant>
        <vt:i4>3866740</vt:i4>
      </vt:variant>
      <vt:variant>
        <vt:i4>0</vt:i4>
      </vt:variant>
      <vt:variant>
        <vt:i4>0</vt:i4>
      </vt:variant>
      <vt:variant>
        <vt:i4>5</vt:i4>
      </vt:variant>
      <vt:variant>
        <vt:lpwstr>http://www.worklaw.com/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http://www.hrthatworks.com/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PRE-TERMINATION CHECKLIST</dc:title>
  <dc:subject/>
  <dc:creator>Donald A. Phin</dc:creator>
  <cp:keywords/>
  <cp:lastModifiedBy>Don Phin</cp:lastModifiedBy>
  <cp:revision>3</cp:revision>
  <cp:lastPrinted>2001-02-27T23:35:00Z</cp:lastPrinted>
  <dcterms:created xsi:type="dcterms:W3CDTF">2023-10-08T19:18:00Z</dcterms:created>
  <dcterms:modified xsi:type="dcterms:W3CDTF">2023-10-08T19:19:00Z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">
    <vt:lpwstr>Personnel Forms</vt:lpwstr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Donald A. Phin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  <property fmtid="{D5CDD505-2E9C-101B-9397-08002B2CF9AE}" pid="16" name="GrammarlyDocumentId">
    <vt:lpwstr>fbabd9192c86262730c6814e9646ccf9d302070f2dc8af95e0457a9606f58035</vt:lpwstr>
  </property>
</Properties>
</file>